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（无人机机巢A及相关附件(无人机机巢) （广东、广西、海南））</w:t>
      </w:r>
    </w:p>
    <w:p>
      <w:pPr>
        <w:spacing w:line="360" w:lineRule="auto"/>
        <w:jc w:val="center"/>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pStyle w:val="35"/>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5"/>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_Toc9020 </w:instrText>
      </w:r>
      <w:r>
        <w:rPr>
          <w:rFonts w:hint="eastAsia" w:ascii="宋体" w:hAnsi="宋体" w:eastAsia="宋体" w:cs="宋体"/>
          <w:szCs w:val="36"/>
        </w:rPr>
        <w:fldChar w:fldCharType="separate"/>
      </w:r>
      <w:r>
        <w:rPr>
          <w:rFonts w:hint="eastAsia" w:ascii="宋体" w:hAnsi="宋体" w:eastAsia="宋体" w:cs="宋体"/>
        </w:rPr>
        <w:t>1 一般规定</w:t>
      </w:r>
      <w:r>
        <w:tab/>
      </w:r>
      <w:r>
        <w:fldChar w:fldCharType="begin"/>
      </w:r>
      <w:r>
        <w:instrText xml:space="preserve"> PAGEREF _Toc9020 \h </w:instrText>
      </w:r>
      <w:r>
        <w:fldChar w:fldCharType="separate"/>
      </w:r>
      <w:r>
        <w:t>1</w:t>
      </w:r>
      <w:r>
        <w:fldChar w:fldCharType="end"/>
      </w:r>
      <w:r>
        <w:rPr>
          <w:rFonts w:hint="eastAsia" w:ascii="宋体" w:hAnsi="宋体" w:eastAsia="宋体" w:cs="宋体"/>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_Toc14873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_Toc14873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_Toc17588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_Toc17588 \h </w:instrText>
      </w:r>
      <w:r>
        <w:fldChar w:fldCharType="separate"/>
      </w:r>
      <w:r>
        <w:t>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_Toc9209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_Toc9209 \h </w:instrText>
      </w:r>
      <w:r>
        <w:fldChar w:fldCharType="separate"/>
      </w:r>
      <w:r>
        <w:t>8</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_Toc729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_Toc729 \h </w:instrText>
      </w:r>
      <w:r>
        <w:fldChar w:fldCharType="separate"/>
      </w:r>
      <w:r>
        <w:t>8</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_Toc16989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_Toc16989 \h </w:instrText>
      </w:r>
      <w:r>
        <w:fldChar w:fldCharType="separate"/>
      </w:r>
      <w:r>
        <w:t>9</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_Toc14552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_Toc14552 \h </w:instrText>
      </w:r>
      <w:r>
        <w:fldChar w:fldCharType="separate"/>
      </w:r>
      <w:r>
        <w:t>9</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_Toc6662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_Toc6662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_Toc15754 </w:instrText>
      </w:r>
      <w:r>
        <w:rPr>
          <w:rFonts w:hint="eastAsia" w:ascii="宋体" w:hAnsi="宋体" w:eastAsia="宋体" w:cs="宋体"/>
          <w:kern w:val="2"/>
          <w:szCs w:val="36"/>
        </w:rPr>
        <w:fldChar w:fldCharType="separate"/>
      </w:r>
      <w:r>
        <w:rPr>
          <w:rFonts w:hint="eastAsia" w:ascii="宋体" w:hAnsi="宋体" w:eastAsia="宋体" w:cs="宋体"/>
          <w:bCs w:val="0"/>
          <w:lang w:val="en-US" w:eastAsia="zh-CN"/>
        </w:rPr>
        <w:t>附录1</w:t>
      </w:r>
      <w:r>
        <w:rPr>
          <w:rFonts w:hint="eastAsia" w:ascii="宋体" w:hAnsi="宋体" w:eastAsia="宋体" w:cs="宋体"/>
          <w:bCs w:val="0"/>
        </w:rPr>
        <w:t>供货范围</w:t>
      </w:r>
      <w:r>
        <w:tab/>
      </w:r>
      <w:r>
        <w:fldChar w:fldCharType="begin"/>
      </w:r>
      <w:r>
        <w:instrText xml:space="preserve"> PAGEREF _Toc15754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_Toc32517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_Toc32517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_Toc29430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_Toc29430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_Toc30888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_Toc30888 \h </w:instrText>
      </w:r>
      <w:r>
        <w:fldChar w:fldCharType="separate"/>
      </w:r>
      <w:r>
        <w:t>13</w:t>
      </w:r>
      <w:r>
        <w:fldChar w:fldCharType="end"/>
      </w: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sz w:val="21"/>
        </w:rPr>
      </w:pPr>
      <w:bookmarkStart w:id="1" w:name="_Toc9020"/>
      <w:bookmarkStart w:id="2" w:name="_Toc7140"/>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二</w:t>
      </w:r>
      <w:r>
        <w:rPr>
          <w:rFonts w:hint="eastAsia" w:ascii="宋体" w:hAnsi="宋体" w:eastAsia="宋体" w:cs="宋体"/>
          <w:szCs w:val="24"/>
        </w:rPr>
        <w:t>批无人机设备及相关附件框架采购项目</w:t>
      </w:r>
      <w:r>
        <w:rPr>
          <w:rFonts w:hint="eastAsia" w:ascii="宋体" w:hAnsi="宋体" w:eastAsia="宋体" w:cs="宋体"/>
          <w:szCs w:val="24"/>
          <w:lang w:val="en-US" w:eastAsia="zh-CN"/>
        </w:rPr>
        <w:t>无人机机巢A及相关附件(无人机机巢) （广东、广西、海南）</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eastAsia="宋体" w:cs="宋体"/>
          <w:szCs w:val="24"/>
          <w:lang w:val="en-US" w:eastAsia="zh-CN"/>
        </w:rPr>
        <w:t>无人机机巢A及相关附件(无人机机巢) （广东、广西、海南）</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rPr>
      </w:pPr>
      <w:bookmarkStart w:id="3" w:name="_Toc14873"/>
      <w:bookmarkStart w:id="4" w:name="_Toc6217"/>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val="en-US" w:eastAsia="zh-CN"/>
        </w:rPr>
      </w:pPr>
    </w:p>
    <w:p>
      <w:pPr>
        <w:pStyle w:val="2"/>
        <w:rPr>
          <w:rFonts w:hint="eastAsia" w:ascii="宋体" w:hAnsi="宋体" w:eastAsia="宋体" w:cs="宋体"/>
          <w:sz w:val="21"/>
        </w:rPr>
      </w:pPr>
      <w:bookmarkStart w:id="6" w:name="_Toc17588"/>
      <w:r>
        <w:rPr>
          <w:rFonts w:hint="eastAsia" w:ascii="宋体" w:hAnsi="宋体" w:eastAsia="宋体" w:cs="宋体"/>
          <w:sz w:val="21"/>
        </w:rPr>
        <w:t>3技术要求</w:t>
      </w:r>
      <w:bookmarkEnd w:id="5"/>
      <w:bookmarkEnd w:id="6"/>
    </w:p>
    <w:p>
      <w:pPr>
        <w:pStyle w:val="39"/>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2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600</w:t>
            </w:r>
            <w:r>
              <w:rPr>
                <w:rFonts w:hint="eastAsia" w:ascii="宋体" w:hAnsi="宋体" w:eastAsia="宋体" w:cs="宋体"/>
                <w:kern w:val="0"/>
                <w:szCs w:val="21"/>
                <w:lang w:val="en-US" w:eastAsia="zh-CN"/>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adjustRightInd w:val="0"/>
        <w:snapToGrid w:val="0"/>
        <w:spacing w:line="360" w:lineRule="auto"/>
        <w:ind w:firstLine="420" w:firstLineChars="200"/>
        <w:rPr>
          <w:rFonts w:hint="eastAsia" w:ascii="宋体" w:hAnsi="宋体" w:eastAsia="宋体" w:cs="宋体"/>
        </w:rPr>
      </w:pPr>
    </w:p>
    <w:p>
      <w:pPr>
        <w:jc w:val="center"/>
        <w:rPr>
          <w:rFonts w:hint="eastAsia" w:ascii="宋体" w:hAnsi="宋体" w:eastAsia="宋体" w:cs="宋体"/>
          <w:szCs w:val="21"/>
        </w:rPr>
      </w:pPr>
      <w:bookmarkStart w:id="7" w:name="_Toc2271"/>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.1   </w:t>
      </w:r>
      <w:r>
        <w:rPr>
          <w:rFonts w:hint="eastAsia" w:ascii="宋体" w:hAnsi="宋体" w:eastAsia="宋体" w:cs="宋体"/>
          <w:szCs w:val="24"/>
          <w:lang w:val="en-US" w:eastAsia="zh-CN"/>
        </w:rPr>
        <w:t>无人机机巢A</w:t>
      </w:r>
      <w:r>
        <w:rPr>
          <w:rFonts w:hint="eastAsia" w:ascii="宋体" w:hAnsi="宋体" w:eastAsia="宋体" w:cs="宋体"/>
          <w:szCs w:val="21"/>
        </w:rPr>
        <w:t>技术特性参数</w:t>
      </w:r>
      <w:r>
        <w:rPr>
          <w:rFonts w:hint="eastAsia" w:ascii="宋体" w:hAnsi="宋体" w:eastAsia="宋体" w:cs="宋体"/>
        </w:rPr>
        <w:t>和性能要求响应</w:t>
      </w:r>
      <w:r>
        <w:rPr>
          <w:rFonts w:hint="eastAsia" w:ascii="宋体" w:hAnsi="宋体" w:eastAsia="宋体" w:cs="宋体"/>
          <w:szCs w:val="21"/>
        </w:rPr>
        <w:t xml:space="preserve">表（投标方填写） </w:t>
      </w:r>
    </w:p>
    <w:tbl>
      <w:tblPr>
        <w:tblStyle w:val="20"/>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szCs w:val="21"/>
              </w:rPr>
              <w:t>尺寸（长×宽×高）</w:t>
            </w:r>
          </w:p>
        </w:tc>
        <w:tc>
          <w:tcPr>
            <w:tcW w:w="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≤长 650 毫米，宽 750 毫米，高 800 毫米</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整机重量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千克</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≤55kg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搭载无人机数量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台</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1台</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最大巡检范围</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≥3000米</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数据自动上传</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支持数据自动上传</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分辨率</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设备同时配备内部及外部监控相机，且视频分辨率不低于1080P</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工作环境温度</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°C</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工作温度范围覆盖-30°C至50°C</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风速传感器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需要内置风速传感器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雨量传感器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需要内置雨量传感器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环境温度传感器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需要内置环境温度传感器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水浸传感器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需要内置水浸传感器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舱内湿度传感器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需要内置舱内湿度传感器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自主巡检功能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支持巡检航线自动导入，自主执行任务，无需人工干预</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lang w:eastAsia="zh-CN" w:bidi="ar"/>
              </w:rPr>
              <w:t>★</w:t>
            </w:r>
            <w:r>
              <w:rPr>
                <w:rFonts w:hint="eastAsia" w:ascii="宋体" w:hAnsi="宋体" w:eastAsia="宋体" w:cs="宋体"/>
                <w:szCs w:val="21"/>
                <w:lang w:val="en-US" w:eastAsia="zh-CN"/>
              </w:rPr>
              <w:t>精准降落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支持RTK+视觉引导。光照条件充足条件下，降落误差≤20cm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无人值守运行</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远程实时图传</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无人机系统自主开关机</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紧急备降</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远程运维功能</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防护等级</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不低于IP56</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信息安全</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满足电网信息安全接入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供电要求</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伏</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100 伏至 240 伏（交流电）</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基站卫星接收频率</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设备所含RTK基站可同时接收GPS、GLONASS、BEIDOU、GALILEO四种卫星信号。</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基站定位精准度</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设备所含RTK基站定位精度：</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水平精度小于等于1 cm+1 ppm（RMS）</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垂直精度小于等于2 cm+1 ppm（RMS）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充电时间</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从15% 充至 95%小于30分钟</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媒体下载速率（机场）</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无人机及机场间的最大下载速率不低于20MB/s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空调类型</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需要内置压缩机空调</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续航时间</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备用电池续航不少于4小时</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支持车载部署</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支持车载部署，无人机及机场在长时间车载移动过程中不会损坏</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机场标识灯</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机场集成标识灯，可以用于夜间返航</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4G 接入</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设备可使用蜂窝模块和SIM卡通过4G实现网络接入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视角范围（FOV）</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设备同时配备内部及外部监控相机，且视角范围不低于150°</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补光灯</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设备同时配备内部及外部监控相机，且具备补光能力</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应用程序</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支持使用手机APP对机场进行部署、调试</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平台扩展</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平台支持二次开发以及对接现有软件平台</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私有化</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软件平台支持私有化部署</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边缘计算</w:t>
            </w:r>
          </w:p>
        </w:tc>
        <w:tc>
          <w:tcPr>
            <w:tcW w:w="695" w:type="dxa"/>
            <w:vAlign w:val="center"/>
          </w:tcPr>
          <w:p>
            <w:pPr>
              <w:jc w:val="center"/>
              <w:rPr>
                <w:rFonts w:hint="eastAsia" w:ascii="宋体" w:hAnsi="宋体" w:eastAsia="宋体" w:cs="宋体"/>
                <w:szCs w:val="21"/>
                <w:lang w:val="en-US" w:eastAsia="zh-CN"/>
              </w:rPr>
            </w:pP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设备具备边缘计算模块接口</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40</w:t>
            </w:r>
          </w:p>
        </w:tc>
        <w:tc>
          <w:tcPr>
            <w:tcW w:w="173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快速起飞</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i w:val="0"/>
                <w:iCs w:val="0"/>
                <w:color w:val="000000"/>
                <w:kern w:val="0"/>
                <w:sz w:val="21"/>
                <w:szCs w:val="21"/>
                <w:u w:val="none"/>
                <w:lang w:val="en-US" w:eastAsia="zh-CN" w:bidi="ar"/>
              </w:rPr>
              <w:t>下达任务后，需要15秒内起飞</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41</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边飞边传</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在执行自动任务时，能够实时的查看采集的媒体数据</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42</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支持自动告警</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集成告警系统，当检测到异常目标时，可以自动发送短信告警</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43</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智能变化检测</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支持违建查处、耕地保护的自动对比检测</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.2   机巢操作系统技术参数和性能</w:t>
      </w:r>
      <w:r>
        <w:rPr>
          <w:rFonts w:hint="eastAsia" w:ascii="宋体" w:hAnsi="宋体" w:eastAsia="宋体" w:cs="宋体"/>
        </w:rPr>
        <w:t>要求响应</w:t>
      </w:r>
      <w:r>
        <w:rPr>
          <w:rFonts w:hint="eastAsia" w:ascii="宋体" w:hAnsi="宋体" w:eastAsia="宋体" w:cs="宋体"/>
          <w:szCs w:val="21"/>
        </w:rPr>
        <w:t xml:space="preserve">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支持在线用户数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100人</w:t>
            </w:r>
          </w:p>
        </w:tc>
        <w:tc>
          <w:tcPr>
            <w:tcW w:w="1055" w:type="dxa"/>
            <w:vAlign w:val="center"/>
          </w:tcPr>
          <w:p>
            <w:pPr>
              <w:widowControl/>
              <w:jc w:val="center"/>
              <w:rPr>
                <w:rFonts w:hint="eastAsia" w:ascii="宋体" w:hAnsi="宋体" w:eastAsia="宋体" w:cs="宋体"/>
                <w:bCs/>
                <w:kern w:val="0"/>
                <w:szCs w:val="21"/>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支持并发操作用户数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20人</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系统功能</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包括但不限于智能设备综合管控、巡检任务管理、巡检结果管理、设备台账管理、无人机实时图传监控、无人机作业航线管理与预览等</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widowControl/>
              <w:rPr>
                <w:rFonts w:hint="eastAsia" w:ascii="宋体" w:hAnsi="宋体" w:eastAsia="宋体" w:cs="宋体"/>
                <w:sz w:val="21"/>
                <w:szCs w:val="21"/>
              </w:rPr>
            </w:pPr>
            <w:r>
              <w:rPr>
                <w:rFonts w:hint="eastAsia" w:ascii="宋体" w:hAnsi="宋体" w:eastAsia="宋体" w:cs="宋体"/>
                <w:bCs/>
                <w:kern w:val="0"/>
                <w:sz w:val="21"/>
                <w:szCs w:val="21"/>
              </w:rPr>
              <w:t>操作系统支持</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Ubuntu、CentOS等主流Linux操作系统</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pStyle w:val="19"/>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 xml:space="preserve">   可搭载无人机设备技术参数和性能要求响应表（投标方填写） </w:t>
      </w:r>
    </w:p>
    <w:tbl>
      <w:tblPr>
        <w:tblStyle w:val="2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最大起飞重量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 2000 g</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最长飞行时间</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分钟</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≥54 分钟</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最大可抗风速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≥12m/s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GNSS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支持GPS + BeiDou + Galileo + GLONASS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定位方式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kern w:val="0"/>
                <w:sz w:val="18"/>
                <w:szCs w:val="18"/>
              </w:rPr>
              <w:t>视觉、卫星定位、RTK</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相机类型</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具有长焦可见光、中长焦可见光、广角可见光和红外热成像相机</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具备广角相机，有效像素不低于4800万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具备中长焦相机，相机CMOS不低于1/1.3英寸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具备长焦相机，相机CMOS不低于1/1.5英寸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可见光相机变焦倍数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变焦倍数不低于112倍</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红外传感器分辨率</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≥640*512，超分模式≥1280*1024</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红外传感器帧率</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Hz</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30Hz</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红外热成像测温方式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支持点测温和区域测温</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红外热成像相机变焦倍数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支持28倍数码变焦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变焦方式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支持可见光与红外热成像联动变焦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稳定系统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具备三轴机械增稳云台（俯仰、横滚、平移）</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可见光相机视频</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可见光相机支持4k30p视频录制</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激光测距模块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最远正入射量程1800m</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22</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红外补光</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支持近红外补光灯</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云台俯仰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度</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支持-90°至90°的俯仰范围</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64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21"/>
                <w:szCs w:val="21"/>
                <w:lang w:val="en-US" w:eastAsia="zh-CN" w:bidi="ar"/>
              </w:rPr>
              <w:t>感知系统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18"/>
                <w:szCs w:val="18"/>
                <w:lang w:val="en-US" w:eastAsia="zh-CN" w:bidi="ar"/>
              </w:rPr>
              <w:t>全向双目视觉系统，辅以机身底部三维红外传感器</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电池容量</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毫安时</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6768毫安时</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电池电压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伏</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22.14伏</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电池类型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Li-ion 6S</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电池循环次数</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次</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不低于400次</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支持SDK开放，可基于SDK开发控制无人机的APP或更多挂载在飞机上的负载设备</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支持API开发</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支持通过API开发，实现无人机信息与云端的实时同步</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机载算力支持开放，可满足更多目标检测的应用</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避障雷达重量 ≤230g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不低于IP55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避障雷达应同时集成激光雷达与五向毫米波雷达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对12毫米的导线，有效避障速度不低于15m/s</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64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中继站固定部署版</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接收频点：GPS：L1C/A、L2C、L5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BDS：B1I、B2I、B3I、B1C、B2a、B2b</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Galileo：E1、E5a、E5b、E6</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GLONASS：L1、L2</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QZSS：L1C/A、L2C、L5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L-Band</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流动站模式精度</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固定测量：水平：0.8 厘米 + 1 ppm (RMS)垂直：1.5 厘米 + 1 ppm (RMS)</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倾斜测量：角度范围：0° 至 60°</w:t>
            </w:r>
          </w:p>
          <w:p>
            <w:pPr>
              <w:keepNext w:val="0"/>
              <w:keepLines w:val="0"/>
              <w:widowControl/>
              <w:suppressLineNumbers w:val="0"/>
              <w:jc w:val="both"/>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水平：8 毫米 + 0.7 毫米/° 倾斜（30°内精度 &lt;2 厘米）</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最大信号有效距离（中继站模式，无干扰、无遮挡）</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无人机-中继距离 15 公里</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中继-遥控器距离 1 公里</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重量：1.26千克</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喊话器与喊话器</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支持单独挂载喊话器或喊话器；支持同时挂载探照灯和喊话器</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 ≤95g</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 ≤103g</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shd w:val="clear" w:color="auto" w:fill="auto"/>
            <w:vAlign w:val="center"/>
          </w:tcPr>
          <w:p>
            <w:pPr>
              <w:widowControl/>
              <w:jc w:val="center"/>
              <w:rPr>
                <w:rFonts w:hint="eastAsia" w:ascii="宋体" w:hAnsi="宋体" w:eastAsia="宋体" w:cs="宋体"/>
                <w:kern w:val="0"/>
                <w:sz w:val="21"/>
                <w:szCs w:val="21"/>
                <w:lang w:val="en-US" w:eastAsia="zh-CN" w:bidi="ar-SA"/>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left"/>
        <w:rPr>
          <w:rFonts w:hint="eastAsia" w:ascii="宋体" w:hAnsi="宋体" w:eastAsia="宋体" w:cs="宋体"/>
          <w:szCs w:val="21"/>
        </w:rPr>
      </w:pPr>
    </w:p>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 xml:space="preserve">   </w:t>
      </w:r>
      <w:r>
        <w:rPr>
          <w:rFonts w:hint="eastAsia" w:ascii="宋体" w:hAnsi="宋体" w:eastAsia="宋体" w:cs="宋体"/>
          <w:szCs w:val="21"/>
          <w:lang w:val="en-US" w:eastAsia="zh-CN"/>
        </w:rPr>
        <w:t>售后服务</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20"/>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无人机机巢A售后</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保额内不限次数免费维修，上门服务：在保障范围及额度内，享免费上门维修服务；</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
              </w:rPr>
              <w:t>2</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无人机售后服务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w:t>
            </w:r>
          </w:p>
        </w:tc>
        <w:tc>
          <w:tcPr>
            <w:tcW w:w="1015" w:type="dxa"/>
            <w:vAlign w:val="center"/>
          </w:tcPr>
          <w:p>
            <w:pPr>
              <w:widowControl/>
              <w:jc w:val="center"/>
              <w:rPr>
                <w:rFonts w:hint="eastAsia" w:ascii="宋体" w:hAnsi="宋体" w:eastAsia="宋体" w:cs="宋体"/>
                <w:kern w:val="0"/>
                <w:szCs w:val="21"/>
              </w:rPr>
            </w:pPr>
          </w:p>
        </w:tc>
        <w:tc>
          <w:tcPr>
            <w:tcW w:w="1585"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jc w:val="both"/>
        <w:rPr>
          <w:rFonts w:hint="eastAsia" w:ascii="宋体" w:hAnsi="宋体" w:eastAsia="宋体" w:cs="宋体"/>
          <w:szCs w:val="21"/>
        </w:rPr>
      </w:pPr>
    </w:p>
    <w:p>
      <w:pPr>
        <w:rPr>
          <w:rFonts w:hint="eastAsia" w:ascii="宋体" w:hAnsi="宋体" w:eastAsia="宋体" w:cs="宋体"/>
        </w:rPr>
      </w:pPr>
    </w:p>
    <w:p>
      <w:pPr>
        <w:pStyle w:val="2"/>
        <w:rPr>
          <w:rFonts w:hint="eastAsia" w:ascii="宋体" w:hAnsi="宋体" w:eastAsia="宋体" w:cs="宋体"/>
          <w:sz w:val="21"/>
        </w:rPr>
      </w:pPr>
      <w:bookmarkStart w:id="8" w:name="_Toc9209"/>
      <w:r>
        <w:rPr>
          <w:rFonts w:hint="eastAsia" w:ascii="宋体" w:hAnsi="宋体" w:eastAsia="宋体" w:cs="宋体"/>
          <w:sz w:val="21"/>
        </w:rPr>
        <w:t>4包装和运输</w:t>
      </w:r>
      <w:bookmarkEnd w:id="7"/>
      <w:bookmarkEnd w:id="8"/>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9" w:name="_Toc12510"/>
      <w:bookmarkStart w:id="10" w:name="_Toc729"/>
      <w:r>
        <w:rPr>
          <w:rFonts w:hint="eastAsia" w:ascii="宋体" w:hAnsi="宋体" w:eastAsia="宋体" w:cs="宋体"/>
          <w:sz w:val="21"/>
        </w:rPr>
        <w:t>5技术服务</w:t>
      </w:r>
      <w:bookmarkEnd w:id="9"/>
      <w:bookmarkEnd w:id="10"/>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11"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1"/>
    <w:p>
      <w:pPr>
        <w:pStyle w:val="2"/>
        <w:rPr>
          <w:rFonts w:hint="eastAsia" w:ascii="宋体" w:hAnsi="宋体" w:eastAsia="宋体" w:cs="宋体"/>
          <w:sz w:val="21"/>
        </w:rPr>
      </w:pPr>
      <w:bookmarkStart w:id="12" w:name="_Toc300066390"/>
      <w:bookmarkStart w:id="13" w:name="_Toc16989"/>
      <w:bookmarkStart w:id="14" w:name="_Toc10527"/>
      <w:bookmarkStart w:id="15" w:name="_Toc293403381"/>
      <w:r>
        <w:rPr>
          <w:rFonts w:hint="eastAsia" w:ascii="宋体" w:hAnsi="宋体" w:eastAsia="宋体" w:cs="宋体"/>
          <w:sz w:val="21"/>
        </w:rPr>
        <w:t>6质量保证和试验</w:t>
      </w:r>
      <w:bookmarkEnd w:id="12"/>
      <w:bookmarkEnd w:id="13"/>
      <w:bookmarkEnd w:id="14"/>
      <w:bookmarkEnd w:id="1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16" w:name="_Toc14552"/>
      <w:bookmarkStart w:id="17" w:name="_Toc23887"/>
      <w:r>
        <w:rPr>
          <w:rFonts w:hint="eastAsia" w:ascii="宋体" w:hAnsi="宋体" w:eastAsia="宋体" w:cs="宋体"/>
          <w:sz w:val="21"/>
        </w:rPr>
        <w:t>7设备验收</w:t>
      </w:r>
      <w:bookmarkEnd w:id="16"/>
      <w:bookmarkEnd w:id="17"/>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18" w:name="_Toc6662"/>
      <w:bookmarkStart w:id="19" w:name="_Toc24795"/>
      <w:r>
        <w:rPr>
          <w:rFonts w:hint="eastAsia" w:ascii="宋体" w:hAnsi="宋体" w:eastAsia="宋体" w:cs="宋体"/>
          <w:sz w:val="21"/>
          <w:lang w:val="en-US" w:eastAsia="zh-CN"/>
        </w:rPr>
        <w:t>附录</w:t>
      </w:r>
      <w:bookmarkEnd w:id="18"/>
    </w:p>
    <w:p>
      <w:pPr>
        <w:pStyle w:val="2"/>
        <w:rPr>
          <w:rFonts w:hint="eastAsia" w:ascii="宋体" w:hAnsi="宋体" w:eastAsia="宋体" w:cs="宋体"/>
          <w:b w:val="0"/>
          <w:bCs w:val="0"/>
          <w:sz w:val="21"/>
        </w:rPr>
      </w:pPr>
      <w:bookmarkStart w:id="20" w:name="_Toc15754"/>
      <w:r>
        <w:rPr>
          <w:rFonts w:hint="eastAsia" w:ascii="宋体" w:hAnsi="宋体" w:eastAsia="宋体" w:cs="宋体"/>
          <w:b w:val="0"/>
          <w:bCs w:val="0"/>
          <w:sz w:val="21"/>
          <w:lang w:val="en-US" w:eastAsia="zh-CN"/>
        </w:rPr>
        <w:t>附录1</w:t>
      </w:r>
      <w:r>
        <w:rPr>
          <w:rFonts w:hint="eastAsia" w:ascii="宋体" w:hAnsi="宋体" w:eastAsia="宋体" w:cs="宋体"/>
          <w:b w:val="0"/>
          <w:bCs w:val="0"/>
          <w:sz w:val="21"/>
        </w:rPr>
        <w:t>供货范围</w:t>
      </w:r>
      <w:bookmarkEnd w:id="19"/>
      <w:bookmarkEnd w:id="20"/>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10套。在框架有效期前一个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39"/>
        <w:adjustRightInd w:val="0"/>
        <w:snapToGrid w:val="0"/>
        <w:spacing w:line="360" w:lineRule="auto"/>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27" w:name="_GoBack"/>
      <w:bookmarkEnd w:id="27"/>
    </w:p>
    <w:p>
      <w:pPr>
        <w:pStyle w:val="37"/>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21" w:name="RANGE!D4"/>
            <w:r>
              <w:rPr>
                <w:rFonts w:hint="eastAsia" w:ascii="宋体" w:hAnsi="宋体" w:eastAsia="宋体" w:cs="宋体"/>
                <w:kern w:val="0"/>
                <w:sz w:val="18"/>
                <w:szCs w:val="18"/>
              </w:rPr>
              <w:t>设备名称</w:t>
            </w:r>
            <w:bookmarkEnd w:id="21"/>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8174" w:type="dxa"/>
            <w:gridSpan w:val="7"/>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无人机机场A套装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选配机巢模块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选配无人机电池</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配套行业版遥控器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无人机机场A配套无人机飞行套装</w:t>
            </w:r>
          </w:p>
        </w:tc>
        <w:tc>
          <w:tcPr>
            <w:tcW w:w="1570"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r>
              <w:rPr>
                <w:rFonts w:hint="eastAsia" w:ascii="宋体" w:hAnsi="宋体" w:eastAsia="宋体" w:cs="宋体"/>
                <w:sz w:val="18"/>
                <w:szCs w:val="18"/>
                <w:lang w:eastAsia="zh-CN"/>
              </w:rPr>
              <w:t>（含飞行器、遥控器、电池、桨叶、旗舰保险2年、运输箱）</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配套随动式探照灯</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配套增强图传模块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配套无人机便携电源B</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配套实时语音喊话器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避障雷达</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中继站固定部署版</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安装运维（初级）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w:t>
            </w:r>
            <w:r>
              <w:rPr>
                <w:rFonts w:hint="eastAsia" w:ascii="宋体" w:hAnsi="宋体" w:eastAsia="宋体" w:cs="宋体"/>
                <w:sz w:val="18"/>
                <w:szCs w:val="18"/>
              </w:rPr>
              <w:t>安装，调试，运维</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安装运维（中级）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安装运维（高级）</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勘探，安装，调试，运维，网络调试及现场环境定制化部署</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35kV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220kV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500kV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sz w:val="21"/>
          <w:lang w:val="en-US" w:eastAsia="zh-CN"/>
        </w:rPr>
      </w:pPr>
      <w:bookmarkStart w:id="22" w:name="_Toc20752"/>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rPr>
      </w:pPr>
      <w:bookmarkStart w:id="23" w:name="_Toc32517"/>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22"/>
      <w:bookmarkEnd w:id="23"/>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7"/>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sz w:val="21"/>
        </w:rPr>
      </w:pPr>
      <w:bookmarkStart w:id="24" w:name="_Toc29430"/>
      <w:bookmarkStart w:id="25"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24"/>
      <w:bookmarkEnd w:id="25"/>
    </w:p>
    <w:p>
      <w:pPr>
        <w:pStyle w:val="37"/>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7</w:t>
            </w:r>
          </w:p>
        </w:tc>
        <w:tc>
          <w:tcPr>
            <w:tcW w:w="1455" w:type="dxa"/>
            <w:vAlign w:val="center"/>
          </w:tcPr>
          <w:p>
            <w:pPr>
              <w:topLinePunct/>
              <w:spacing w:before="60" w:after="6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37"/>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证明材料需附在表3.1后。</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ind w:firstLine="210" w:firstLineChars="100"/>
        <w:jc w:val="left"/>
        <w:rPr>
          <w:rFonts w:hint="eastAsia" w:ascii="宋体" w:hAnsi="宋体" w:eastAsia="宋体" w:cs="宋体"/>
          <w:szCs w:val="21"/>
        </w:rPr>
      </w:pPr>
      <w:r>
        <w:rPr>
          <w:rFonts w:hint="eastAsia"/>
          <w:lang w:val="en-US" w:eastAsia="zh-CN"/>
        </w:rPr>
        <w:t>备注：元器件清单投标人根据自身实际情况填写，示例内容仅作为参考。</w:t>
      </w:r>
    </w:p>
    <w:p>
      <w:pPr>
        <w:pStyle w:val="2"/>
        <w:rPr>
          <w:rFonts w:hint="eastAsia" w:ascii="宋体" w:hAnsi="宋体" w:eastAsia="宋体" w:cs="宋体"/>
          <w:sz w:val="21"/>
        </w:rPr>
      </w:pPr>
      <w:bookmarkStart w:id="26" w:name="_Toc30888"/>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26"/>
    </w:p>
    <w:p>
      <w:pPr>
        <w:pStyle w:val="37"/>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7"/>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268A"/>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590F5A"/>
    <w:rsid w:val="0E811E04"/>
    <w:rsid w:val="0E8C4A31"/>
    <w:rsid w:val="0E96765D"/>
    <w:rsid w:val="0EC3241C"/>
    <w:rsid w:val="0F52101E"/>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20DEC"/>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9563AA"/>
    <w:rsid w:val="1C9D24FF"/>
    <w:rsid w:val="1CDB5B8E"/>
    <w:rsid w:val="1CF57C45"/>
    <w:rsid w:val="1CFE11EF"/>
    <w:rsid w:val="1CFF6D16"/>
    <w:rsid w:val="1D0D3BB9"/>
    <w:rsid w:val="1D1D620B"/>
    <w:rsid w:val="1D300C7D"/>
    <w:rsid w:val="1D4110DC"/>
    <w:rsid w:val="1D882867"/>
    <w:rsid w:val="1D905BC0"/>
    <w:rsid w:val="1DBA49EB"/>
    <w:rsid w:val="1DC67833"/>
    <w:rsid w:val="1DD67A76"/>
    <w:rsid w:val="1E012619"/>
    <w:rsid w:val="1E05035C"/>
    <w:rsid w:val="1E2D340E"/>
    <w:rsid w:val="1E6E4153"/>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1FDB23B9"/>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B28DE"/>
    <w:rsid w:val="279F537D"/>
    <w:rsid w:val="27AC5CEC"/>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D908D2"/>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C22F44"/>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924CCA"/>
    <w:rsid w:val="37B26A07"/>
    <w:rsid w:val="37C07D1E"/>
    <w:rsid w:val="37D270A9"/>
    <w:rsid w:val="380A4A95"/>
    <w:rsid w:val="381334DD"/>
    <w:rsid w:val="38386CE7"/>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9F7AC9"/>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8F4181"/>
    <w:rsid w:val="41994056"/>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3FC183C"/>
    <w:rsid w:val="442567B2"/>
    <w:rsid w:val="442A5850"/>
    <w:rsid w:val="443F7874"/>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675DC"/>
    <w:rsid w:val="48A02FDA"/>
    <w:rsid w:val="48C60564"/>
    <w:rsid w:val="48D12A65"/>
    <w:rsid w:val="48DF5182"/>
    <w:rsid w:val="48FC3F85"/>
    <w:rsid w:val="491E34DE"/>
    <w:rsid w:val="4933371F"/>
    <w:rsid w:val="49335873"/>
    <w:rsid w:val="493C25D4"/>
    <w:rsid w:val="49AD702E"/>
    <w:rsid w:val="49B52386"/>
    <w:rsid w:val="49E35145"/>
    <w:rsid w:val="4A16536B"/>
    <w:rsid w:val="4A1C23CF"/>
    <w:rsid w:val="4A895CED"/>
    <w:rsid w:val="4AB12B4E"/>
    <w:rsid w:val="4ACA1E61"/>
    <w:rsid w:val="4B174664"/>
    <w:rsid w:val="4B1F21AD"/>
    <w:rsid w:val="4B871B00"/>
    <w:rsid w:val="4B8C6E5E"/>
    <w:rsid w:val="4B971D44"/>
    <w:rsid w:val="4B9A1834"/>
    <w:rsid w:val="4BB225EC"/>
    <w:rsid w:val="4BEA27BB"/>
    <w:rsid w:val="4C387906"/>
    <w:rsid w:val="4C66796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1C08B3"/>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F1B3E"/>
    <w:rsid w:val="63CE60C7"/>
    <w:rsid w:val="63DE25DA"/>
    <w:rsid w:val="63E63410"/>
    <w:rsid w:val="6424218B"/>
    <w:rsid w:val="64250B7E"/>
    <w:rsid w:val="64354398"/>
    <w:rsid w:val="64682077"/>
    <w:rsid w:val="65183DE7"/>
    <w:rsid w:val="65222B6E"/>
    <w:rsid w:val="652E7C24"/>
    <w:rsid w:val="65C55FDD"/>
    <w:rsid w:val="65C854C3"/>
    <w:rsid w:val="65C92FEA"/>
    <w:rsid w:val="6603474E"/>
    <w:rsid w:val="661701F9"/>
    <w:rsid w:val="6635242D"/>
    <w:rsid w:val="664408C2"/>
    <w:rsid w:val="664F1741"/>
    <w:rsid w:val="665E7BD6"/>
    <w:rsid w:val="66772A46"/>
    <w:rsid w:val="6692162D"/>
    <w:rsid w:val="66A575B3"/>
    <w:rsid w:val="66B342DB"/>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9FB4975"/>
    <w:rsid w:val="6A3A6264"/>
    <w:rsid w:val="6A4E3ABD"/>
    <w:rsid w:val="6A537326"/>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0B2457"/>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185A80"/>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A744CA"/>
    <w:rsid w:val="73B13A3B"/>
    <w:rsid w:val="73BE1CB4"/>
    <w:rsid w:val="73BE7F06"/>
    <w:rsid w:val="73C073AB"/>
    <w:rsid w:val="73CA68AB"/>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840750"/>
    <w:rsid w:val="7CB65657"/>
    <w:rsid w:val="7CBE4AD3"/>
    <w:rsid w:val="7CD10A13"/>
    <w:rsid w:val="7CD44657"/>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536173"/>
    <w:rsid w:val="7F686C44"/>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1"/>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30"/>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8"/>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8"/>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2"/>
    <w:qFormat/>
    <w:uiPriority w:val="0"/>
    <w:rPr>
      <w:rFonts w:ascii="宋体" w:hAnsi="Courier New" w:cs="Courier New"/>
      <w:szCs w:val="21"/>
    </w:rPr>
  </w:style>
  <w:style w:type="paragraph" w:styleId="13">
    <w:name w:val="Balloon Text"/>
    <w:basedOn w:val="1"/>
    <w:link w:val="44"/>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9">
    <w:name w:val="Body Text First Indent 2"/>
    <w:basedOn w:val="11"/>
    <w:unhideWhenUsed/>
    <w:qFormat/>
    <w:uiPriority w:val="99"/>
    <w:pPr>
      <w:adjustRightInd/>
      <w:spacing w:line="240" w:lineRule="auto"/>
      <w:ind w:firstLine="420" w:firstLineChars="200"/>
      <w:jc w:val="both"/>
    </w:pPr>
    <w:rPr>
      <w:kern w:val="2"/>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paragraph" w:customStyle="1" w:styleId="26">
    <w:name w:val="WW-普通文字"/>
    <w:basedOn w:val="1"/>
    <w:qFormat/>
    <w:uiPriority w:val="0"/>
    <w:pPr>
      <w:suppressAutoHyphens/>
      <w:spacing w:line="290" w:lineRule="auto"/>
    </w:pPr>
    <w:rPr>
      <w:rFonts w:ascii="Courier New" w:hAnsi="Courier New"/>
      <w:kern w:val="1"/>
      <w:szCs w:val="20"/>
    </w:rPr>
  </w:style>
  <w:style w:type="paragraph" w:customStyle="1" w:styleId="27">
    <w:name w:val="列出段落1"/>
    <w:basedOn w:val="1"/>
    <w:qFormat/>
    <w:uiPriority w:val="34"/>
    <w:pPr>
      <w:ind w:firstLine="420" w:firstLineChars="200"/>
    </w:pPr>
  </w:style>
  <w:style w:type="character" w:customStyle="1" w:styleId="28">
    <w:name w:val="标题 5 字符"/>
    <w:basedOn w:val="22"/>
    <w:link w:val="6"/>
    <w:qFormat/>
    <w:uiPriority w:val="9"/>
    <w:rPr>
      <w:rFonts w:ascii="Tahoma" w:hAnsi="Tahoma" w:eastAsia="微软雅黑" w:cs="Times New Roman"/>
      <w:b/>
      <w:bCs/>
      <w:kern w:val="0"/>
      <w:sz w:val="28"/>
      <w:szCs w:val="28"/>
    </w:rPr>
  </w:style>
  <w:style w:type="character" w:customStyle="1" w:styleId="29">
    <w:name w:val="标题 4 字符"/>
    <w:basedOn w:val="22"/>
    <w:link w:val="5"/>
    <w:semiHidden/>
    <w:qFormat/>
    <w:uiPriority w:val="9"/>
    <w:rPr>
      <w:rFonts w:ascii="Cambria" w:hAnsi="Cambria" w:eastAsia="宋体"/>
      <w:b/>
      <w:bCs/>
      <w:sz w:val="28"/>
      <w:szCs w:val="28"/>
    </w:rPr>
  </w:style>
  <w:style w:type="character" w:customStyle="1" w:styleId="30">
    <w:name w:val="标题 2 字符"/>
    <w:basedOn w:val="22"/>
    <w:link w:val="3"/>
    <w:qFormat/>
    <w:uiPriority w:val="0"/>
    <w:rPr>
      <w:rFonts w:ascii="Cambria" w:hAnsi="Cambria" w:eastAsia="宋体" w:cs="Times New Roman"/>
      <w:b/>
      <w:bCs/>
      <w:sz w:val="32"/>
      <w:szCs w:val="32"/>
    </w:rPr>
  </w:style>
  <w:style w:type="character" w:customStyle="1" w:styleId="31">
    <w:name w:val="标题 1 字符"/>
    <w:basedOn w:val="22"/>
    <w:link w:val="2"/>
    <w:qFormat/>
    <w:uiPriority w:val="0"/>
    <w:rPr>
      <w:rFonts w:asciiTheme="minorEastAsia" w:hAnsiTheme="minorEastAsia" w:eastAsiaTheme="minorEastAsia"/>
      <w:b/>
      <w:bCs/>
      <w:kern w:val="2"/>
      <w:sz w:val="28"/>
      <w:szCs w:val="28"/>
    </w:rPr>
  </w:style>
  <w:style w:type="character" w:customStyle="1" w:styleId="32">
    <w:name w:val="页眉 字符"/>
    <w:basedOn w:val="22"/>
    <w:link w:val="15"/>
    <w:semiHidden/>
    <w:qFormat/>
    <w:uiPriority w:val="99"/>
    <w:rPr>
      <w:sz w:val="18"/>
      <w:szCs w:val="18"/>
    </w:rPr>
  </w:style>
  <w:style w:type="character" w:customStyle="1" w:styleId="33">
    <w:name w:val="页脚 字符"/>
    <w:basedOn w:val="22"/>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character" w:customStyle="1" w:styleId="40">
    <w:name w:val="标题 3 字符"/>
    <w:basedOn w:val="22"/>
    <w:link w:val="4"/>
    <w:semiHidden/>
    <w:qFormat/>
    <w:uiPriority w:val="9"/>
    <w:rPr>
      <w:rFonts w:ascii="Calibri" w:hAnsi="Calibri"/>
      <w:b/>
      <w:bCs/>
      <w:kern w:val="2"/>
      <w:sz w:val="32"/>
      <w:szCs w:val="32"/>
    </w:rPr>
  </w:style>
  <w:style w:type="paragraph" w:customStyle="1" w:styleId="41">
    <w:name w:val="列出段落2"/>
    <w:basedOn w:val="1"/>
    <w:qFormat/>
    <w:uiPriority w:val="99"/>
    <w:pPr>
      <w:ind w:firstLine="420" w:firstLineChars="200"/>
    </w:pPr>
  </w:style>
  <w:style w:type="character" w:customStyle="1" w:styleId="42">
    <w:name w:val="纯文本 字符"/>
    <w:link w:val="12"/>
    <w:qFormat/>
    <w:uiPriority w:val="0"/>
    <w:rPr>
      <w:rFonts w:ascii="宋体" w:hAnsi="Courier New" w:cs="Courier New"/>
      <w:kern w:val="2"/>
      <w:sz w:val="21"/>
      <w:szCs w:val="21"/>
    </w:rPr>
  </w:style>
  <w:style w:type="character" w:customStyle="1" w:styleId="43">
    <w:name w:val="纯文本 Char1"/>
    <w:basedOn w:val="22"/>
    <w:semiHidden/>
    <w:qFormat/>
    <w:uiPriority w:val="0"/>
    <w:rPr>
      <w:rFonts w:ascii="宋体" w:hAnsi="Courier New" w:cs="Courier New"/>
      <w:kern w:val="2"/>
      <w:sz w:val="21"/>
      <w:szCs w:val="21"/>
    </w:rPr>
  </w:style>
  <w:style w:type="character" w:customStyle="1" w:styleId="44">
    <w:name w:val="批注框文本 字符"/>
    <w:basedOn w:val="22"/>
    <w:link w:val="13"/>
    <w:semiHidden/>
    <w:qFormat/>
    <w:uiPriority w:val="0"/>
    <w:rPr>
      <w:rFonts w:ascii="Calibri" w:hAnsi="Calibri"/>
      <w:kern w:val="2"/>
      <w:sz w:val="18"/>
      <w:szCs w:val="18"/>
    </w:rPr>
  </w:style>
  <w:style w:type="character" w:customStyle="1" w:styleId="45">
    <w:name w:val="font1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paragraph" w:customStyle="1" w:styleId="47">
    <w:name w:val="修订1"/>
    <w:hidden/>
    <w:semiHidden/>
    <w:qFormat/>
    <w:uiPriority w:val="99"/>
    <w:rPr>
      <w:rFonts w:ascii="Calibri" w:hAnsi="Calibri" w:eastAsia="宋体" w:cs="Times New Roman"/>
      <w:kern w:val="2"/>
      <w:sz w:val="21"/>
      <w:szCs w:val="22"/>
      <w:lang w:val="en-US" w:eastAsia="zh-CN" w:bidi="ar-SA"/>
    </w:rPr>
  </w:style>
  <w:style w:type="character" w:customStyle="1" w:styleId="48">
    <w:name w:val="正文文本 字符"/>
    <w:basedOn w:val="22"/>
    <w:link w:val="9"/>
    <w:semiHidden/>
    <w:qFormat/>
    <w:uiPriority w:val="99"/>
    <w:rPr>
      <w:kern w:val="2"/>
      <w:sz w:val="21"/>
      <w:szCs w:val="24"/>
    </w:rPr>
  </w:style>
  <w:style w:type="paragraph" w:styleId="49">
    <w:name w:val="List Paragraph"/>
    <w:basedOn w:val="1"/>
    <w:qFormat/>
    <w:uiPriority w:val="99"/>
    <w:pPr>
      <w:ind w:firstLine="420" w:firstLineChars="200"/>
    </w:pPr>
  </w:style>
  <w:style w:type="paragraph" w:customStyle="1" w:styleId="50">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7427</Words>
  <Characters>8014</Characters>
  <Lines>130</Lines>
  <Paragraphs>36</Paragraphs>
  <TotalTime>0</TotalTime>
  <ScaleCrop>false</ScaleCrop>
  <LinksUpToDate>false</LinksUpToDate>
  <CharactersWithSpaces>8250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6C72BD81899F430883FE89272EE49EBA_13</vt:lpwstr>
  </property>
  <property fmtid="{D5CDD505-2E9C-101B-9397-08002B2CF9AE}" pid="4" name="KSOTemplateDocerSaveRecord">
    <vt:lpwstr>eyJoZGlkIjoiZWRlNWQ4ZWMzOGM3MTBjZjU0NTEzNGUzY2NmM2U4ZDIiLCJ1c2VySWQiOiI2OTQ3MzY2MjQifQ==</vt:lpwstr>
  </property>
</Properties>
</file>